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B53A" w14:textId="09346A04" w:rsidR="00DF5264" w:rsidRPr="00511A34" w:rsidRDefault="00FA6AA6" w:rsidP="009639F4">
      <w:pPr>
        <w:pStyle w:val="TITRE0"/>
        <w:spacing w:line="220" w:lineRule="exact"/>
        <w:jc w:val="both"/>
      </w:pPr>
      <w:r>
        <w:rPr>
          <w:noProof/>
        </w:rPr>
        <w:drawing>
          <wp:inline distT="0" distB="0" distL="0" distR="0" wp14:anchorId="17DFCD97" wp14:editId="09FC14F9">
            <wp:extent cx="457200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974C" w14:textId="3E3FB11C" w:rsidR="00EA4197" w:rsidRPr="00B034B3" w:rsidRDefault="00EA4197" w:rsidP="009639F4">
      <w:pPr>
        <w:pStyle w:val="TITRE0"/>
        <w:jc w:val="both"/>
        <w:rPr>
          <w:sz w:val="4"/>
          <w:szCs w:val="4"/>
        </w:rPr>
      </w:pPr>
    </w:p>
    <w:p w14:paraId="2C7A47B4" w14:textId="07450F7D" w:rsidR="00B12596" w:rsidRPr="002047FB" w:rsidRDefault="00B42510" w:rsidP="009639F4">
      <w:pPr>
        <w:pStyle w:val="TITRE0"/>
        <w:rPr>
          <w:sz w:val="32"/>
          <w:szCs w:val="32"/>
        </w:rPr>
      </w:pPr>
      <w:r>
        <w:rPr>
          <w:sz w:val="32"/>
          <w:szCs w:val="32"/>
        </w:rPr>
        <w:t xml:space="preserve">Tungaloy </w:t>
      </w:r>
      <w:r w:rsidR="006B0340">
        <w:rPr>
          <w:sz w:val="32"/>
          <w:szCs w:val="32"/>
        </w:rPr>
        <w:t xml:space="preserve">présente de </w:t>
      </w:r>
      <w:r w:rsidR="006B0340" w:rsidRPr="006B0340">
        <w:rPr>
          <w:sz w:val="32"/>
          <w:szCs w:val="32"/>
        </w:rPr>
        <w:t xml:space="preserve">nouvelles nuances </w:t>
      </w:r>
      <w:r w:rsidR="006B0340">
        <w:rPr>
          <w:sz w:val="32"/>
          <w:szCs w:val="32"/>
        </w:rPr>
        <w:t xml:space="preserve">de plaquettes </w:t>
      </w:r>
      <w:r w:rsidR="006B0340" w:rsidRPr="006B0340">
        <w:rPr>
          <w:sz w:val="32"/>
          <w:szCs w:val="32"/>
        </w:rPr>
        <w:t>en céramique</w:t>
      </w:r>
    </w:p>
    <w:p w14:paraId="3B33312C" w14:textId="474EEB26" w:rsidR="00B754BC" w:rsidRPr="00511A34" w:rsidRDefault="00B12596" w:rsidP="009639F4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E4C340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9639F4">
      <w:pPr>
        <w:pStyle w:val="TEXTE"/>
        <w:jc w:val="both"/>
      </w:pPr>
    </w:p>
    <w:p w14:paraId="6191A086" w14:textId="6D375B90" w:rsidR="00EA4197" w:rsidRPr="00511A34" w:rsidRDefault="00E51835" w:rsidP="009639F4">
      <w:pPr>
        <w:pStyle w:val="TEXTE"/>
        <w:jc w:val="both"/>
      </w:pPr>
      <w:r w:rsidRPr="00511A34">
        <w:t>Paris</w:t>
      </w:r>
      <w:r w:rsidR="00903BB9" w:rsidRPr="00511A34">
        <w:t xml:space="preserve">, </w:t>
      </w:r>
      <w:r w:rsidR="006B0340">
        <w:t>Juillet</w:t>
      </w:r>
      <w:r w:rsidRPr="00511A34">
        <w:t xml:space="preserve"> </w:t>
      </w:r>
      <w:r w:rsidR="00903BB9" w:rsidRPr="00511A34">
        <w:t>20</w:t>
      </w:r>
      <w:r w:rsidR="00B12596" w:rsidRPr="00511A34">
        <w:t>20</w:t>
      </w:r>
    </w:p>
    <w:p w14:paraId="7931BA0F" w14:textId="77777777" w:rsidR="002047FB" w:rsidRDefault="002047FB" w:rsidP="009639F4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</w:p>
    <w:p w14:paraId="66AA340C" w14:textId="53C2C002" w:rsidR="008A655A" w:rsidRDefault="00503491" w:rsidP="009639F4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 w:rsidRPr="00503491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Tungaloy présente de nouvelles nuances </w:t>
      </w:r>
      <w:r w:rsidR="008946AB" w:rsidRPr="00503491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céramiqu</w:t>
      </w:r>
      <w:r w:rsidR="008946AB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es</w:t>
      </w:r>
      <w:r w:rsidR="008946AB" w:rsidRPr="00503491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</w:t>
      </w:r>
      <w:r w:rsidRPr="00503491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en pour améliorer l'efficacité du tournage dans les superalliages </w:t>
      </w:r>
      <w:r w:rsidR="008946AB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réfractaires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.</w:t>
      </w:r>
    </w:p>
    <w:p w14:paraId="0FA0E929" w14:textId="77777777" w:rsidR="00503491" w:rsidRPr="00997E0E" w:rsidRDefault="00503491" w:rsidP="009639F4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052CC14E" w14:textId="5BAC895A" w:rsidR="00D96846" w:rsidRPr="00D96846" w:rsidRDefault="00D96846" w:rsidP="009639F4">
      <w:pPr>
        <w:widowControl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Tungaloy a dévoilé deux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nouvelles nuances de plaquette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en céramique</w:t>
      </w:r>
      <w:r w:rsidR="008830C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: TS200 et TS300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,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développé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pour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opérations de tournage à haute vitesse et à haute efficacité </w:t>
      </w:r>
      <w:r w:rsidR="009639F4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sur des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superalliages </w:t>
      </w:r>
      <w:r w:rsidR="009639F4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réfractaires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.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Pour utiliser ces nouvelles plaquettes,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des porte-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plaquettes de tournage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dédiés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,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avec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bridage</w:t>
      </w:r>
      <w:r w:rsidR="008830C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en T conçue pour maintenir en toute sécurité les </w:t>
      </w:r>
      <w:r w:rsidR="008830C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céramique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s afin de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résister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aux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opérations exigeantes.</w:t>
      </w:r>
    </w:p>
    <w:p w14:paraId="21007CC5" w14:textId="77777777" w:rsidR="00D96846" w:rsidRPr="00D96846" w:rsidRDefault="00D96846" w:rsidP="009639F4">
      <w:pPr>
        <w:widowControl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2ABF4438" w14:textId="26D5E1C6" w:rsidR="00D96846" w:rsidRPr="00D96846" w:rsidRDefault="00D96846" w:rsidP="009639F4">
      <w:pPr>
        <w:widowControl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TS200 et TS300 sont tou</w:t>
      </w:r>
      <w:r w:rsidR="008830C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deux des nuances céramique </w:t>
      </w:r>
      <w:proofErr w:type="spellStart"/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SiAlON</w:t>
      </w:r>
      <w:proofErr w:type="spellEnd"/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conçues pour effectuer des opérations de tournage à grande vitesse. L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 nuance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TS200 convient aux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opérations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 finition</w:t>
      </w:r>
      <w:r w:rsidR="0075409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; tandis que l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 nuance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TS300 est idéal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pour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opérations d'ébauche.</w:t>
      </w:r>
    </w:p>
    <w:p w14:paraId="06A8EA18" w14:textId="77777777" w:rsidR="00D96846" w:rsidRPr="00D96846" w:rsidRDefault="00D96846" w:rsidP="009639F4">
      <w:pPr>
        <w:widowControl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bookmarkStart w:id="0" w:name="_GoBack"/>
      <w:bookmarkEnd w:id="0"/>
    </w:p>
    <w:p w14:paraId="08E9225F" w14:textId="4D71117E" w:rsidR="00B30E95" w:rsidRDefault="00D96846" w:rsidP="009639F4">
      <w:pPr>
        <w:widowControl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Les porte-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plaquettes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dédiés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sont équipés d’une bride afin de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maint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enir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DE235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la plaquette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céramique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efficacement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en place dans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son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DE235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logement 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afin d’exécuter des </w:t>
      </w:r>
      <w:r w:rsidR="00EE57A8"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opérations exigeantes</w:t>
      </w:r>
      <w:r w:rsidR="00EE57A8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en toute </w:t>
      </w:r>
      <w:r w:rsidRPr="00D96846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sécurité.</w:t>
      </w:r>
      <w:r w:rsidR="00B30E9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br w:type="page"/>
      </w:r>
    </w:p>
    <w:p w14:paraId="3C1CD9BF" w14:textId="77777777" w:rsidR="003C28BE" w:rsidRDefault="003C28BE" w:rsidP="009639F4">
      <w:pPr>
        <w:widowControl/>
        <w:rPr>
          <w:lang w:val="fr-FR"/>
        </w:rPr>
      </w:pPr>
    </w:p>
    <w:p w14:paraId="588BDBD1" w14:textId="6DC2DEAC" w:rsidR="00EA4197" w:rsidRPr="00511A34" w:rsidRDefault="00EA4197" w:rsidP="009639F4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684252F1" w:rsidR="00EA4197" w:rsidRPr="00511A34" w:rsidRDefault="00EA4197" w:rsidP="009639F4">
      <w:pPr>
        <w:pStyle w:val="TEXTE"/>
        <w:jc w:val="both"/>
      </w:pPr>
    </w:p>
    <w:p w14:paraId="4BB402B0" w14:textId="54C2F077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</w:p>
    <w:p w14:paraId="21CF0704" w14:textId="0E315984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 xml:space="preserve">automobile, la construction, </w:t>
      </w:r>
      <w:r w:rsidR="00F01667">
        <w:rPr>
          <w:rFonts w:asciiTheme="majorHAnsi" w:hAnsiTheme="majorHAnsi" w:cstheme="majorHAnsi"/>
        </w:rPr>
        <w:t>l’aéronautique</w:t>
      </w:r>
      <w:r w:rsidRPr="00511A34">
        <w:rPr>
          <w:rFonts w:asciiTheme="majorHAnsi" w:hAnsiTheme="majorHAnsi" w:cstheme="majorHAnsi"/>
        </w:rPr>
        <w:t>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</w:p>
    <w:p w14:paraId="5F0B09C3" w14:textId="7E698F7F" w:rsidR="00EA4197" w:rsidRPr="00511A34" w:rsidRDefault="00EA4197" w:rsidP="009639F4">
      <w:pPr>
        <w:pStyle w:val="TEXTE"/>
        <w:jc w:val="both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membre du groupe IMC.</w:t>
      </w:r>
    </w:p>
    <w:p w14:paraId="00988555" w14:textId="50FFA784" w:rsidR="00FA5481" w:rsidRDefault="00FA6AA6" w:rsidP="009639F4">
      <w:pPr>
        <w:pStyle w:val="TEXT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C77F4AC" wp14:editId="1314C5F7">
            <wp:simplePos x="0" y="0"/>
            <wp:positionH relativeFrom="margin">
              <wp:posOffset>284884</wp:posOffset>
            </wp:positionH>
            <wp:positionV relativeFrom="margin">
              <wp:posOffset>3345959</wp:posOffset>
            </wp:positionV>
            <wp:extent cx="5697682" cy="4498686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82" cy="44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2CFBD" w14:textId="7C7FE1A0" w:rsidR="00FA6AA6" w:rsidRDefault="00FA6AA6" w:rsidP="009639F4">
      <w:pPr>
        <w:pStyle w:val="TEXTE"/>
        <w:jc w:val="both"/>
        <w:rPr>
          <w:rFonts w:asciiTheme="majorHAnsi" w:hAnsiTheme="majorHAnsi" w:cstheme="majorHAnsi"/>
        </w:rPr>
      </w:pPr>
    </w:p>
    <w:p w14:paraId="696522FB" w14:textId="68C67896" w:rsidR="00FA6AA6" w:rsidRPr="00511A34" w:rsidRDefault="00FA6AA6" w:rsidP="009639F4">
      <w:pPr>
        <w:pStyle w:val="TEXTE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4DBEA57" wp14:editId="43B9E42C">
            <wp:extent cx="4572000" cy="360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4E0F" w14:textId="110B343F" w:rsidR="00FA5481" w:rsidRPr="00511A34" w:rsidRDefault="00FA5481" w:rsidP="009639F4">
      <w:pPr>
        <w:pStyle w:val="TEXTE"/>
        <w:jc w:val="both"/>
        <w:rPr>
          <w:rFonts w:asciiTheme="majorHAnsi" w:hAnsiTheme="majorHAnsi" w:cstheme="majorHAnsi"/>
        </w:rPr>
      </w:pPr>
    </w:p>
    <w:sectPr w:rsidR="00FA5481" w:rsidRPr="00511A34" w:rsidSect="00EA4197">
      <w:headerReference w:type="default" r:id="rId14"/>
      <w:footerReference w:type="default" r:id="rId15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DF70" w14:textId="77777777" w:rsidR="00255A5F" w:rsidRDefault="00255A5F" w:rsidP="00E9327D">
      <w:r>
        <w:separator/>
      </w:r>
    </w:p>
  </w:endnote>
  <w:endnote w:type="continuationSeparator" w:id="0">
    <w:p w14:paraId="4FD90B1C" w14:textId="77777777" w:rsidR="00255A5F" w:rsidRDefault="00255A5F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CE86882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6DDA" w14:textId="77777777" w:rsidR="00255A5F" w:rsidRDefault="00255A5F" w:rsidP="00E9327D">
      <w:r>
        <w:separator/>
      </w:r>
    </w:p>
  </w:footnote>
  <w:footnote w:type="continuationSeparator" w:id="0">
    <w:p w14:paraId="144E778A" w14:textId="77777777" w:rsidR="00255A5F" w:rsidRDefault="00255A5F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2615E1A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46F3"/>
    <w:multiLevelType w:val="hybridMultilevel"/>
    <w:tmpl w:val="142A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410F"/>
    <w:multiLevelType w:val="hybridMultilevel"/>
    <w:tmpl w:val="5D6ED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5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633B"/>
    <w:rsid w:val="00046918"/>
    <w:rsid w:val="00053C01"/>
    <w:rsid w:val="000606E1"/>
    <w:rsid w:val="0006346C"/>
    <w:rsid w:val="0006532B"/>
    <w:rsid w:val="00065C74"/>
    <w:rsid w:val="000662F3"/>
    <w:rsid w:val="00074827"/>
    <w:rsid w:val="000842A2"/>
    <w:rsid w:val="00090154"/>
    <w:rsid w:val="0009660C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42CB"/>
    <w:rsid w:val="001648A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E6442"/>
    <w:rsid w:val="001F05EE"/>
    <w:rsid w:val="001F365B"/>
    <w:rsid w:val="00201A8D"/>
    <w:rsid w:val="002022A1"/>
    <w:rsid w:val="00203A3E"/>
    <w:rsid w:val="002047FB"/>
    <w:rsid w:val="002053BE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5A5F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6472"/>
    <w:rsid w:val="002971AE"/>
    <w:rsid w:val="002A1BD9"/>
    <w:rsid w:val="002A1DCF"/>
    <w:rsid w:val="002B13B7"/>
    <w:rsid w:val="002B2EFA"/>
    <w:rsid w:val="002B5C3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15A1"/>
    <w:rsid w:val="00334C3A"/>
    <w:rsid w:val="00344B4A"/>
    <w:rsid w:val="003462F1"/>
    <w:rsid w:val="00347B6C"/>
    <w:rsid w:val="003504E4"/>
    <w:rsid w:val="00351DDD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52A7"/>
    <w:rsid w:val="003C28BE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3934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99C"/>
    <w:rsid w:val="004B3FBC"/>
    <w:rsid w:val="004B6418"/>
    <w:rsid w:val="004C0CE3"/>
    <w:rsid w:val="004C5335"/>
    <w:rsid w:val="004D3321"/>
    <w:rsid w:val="004D3B1D"/>
    <w:rsid w:val="004D674E"/>
    <w:rsid w:val="004D74ED"/>
    <w:rsid w:val="004E6CF8"/>
    <w:rsid w:val="004F280B"/>
    <w:rsid w:val="00503491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875A6"/>
    <w:rsid w:val="00592310"/>
    <w:rsid w:val="00595573"/>
    <w:rsid w:val="00595D8E"/>
    <w:rsid w:val="00596388"/>
    <w:rsid w:val="005A6349"/>
    <w:rsid w:val="005B019F"/>
    <w:rsid w:val="005B1432"/>
    <w:rsid w:val="005B28F6"/>
    <w:rsid w:val="005B6693"/>
    <w:rsid w:val="005B76C1"/>
    <w:rsid w:val="005C1F80"/>
    <w:rsid w:val="005D0776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557"/>
    <w:rsid w:val="00614FFE"/>
    <w:rsid w:val="00615AA9"/>
    <w:rsid w:val="00623DF6"/>
    <w:rsid w:val="00627E25"/>
    <w:rsid w:val="00631498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2722"/>
    <w:rsid w:val="00687870"/>
    <w:rsid w:val="006908B0"/>
    <w:rsid w:val="006909A3"/>
    <w:rsid w:val="00694FB6"/>
    <w:rsid w:val="006A0417"/>
    <w:rsid w:val="006A2AFC"/>
    <w:rsid w:val="006A3406"/>
    <w:rsid w:val="006A5898"/>
    <w:rsid w:val="006A5CE1"/>
    <w:rsid w:val="006A7858"/>
    <w:rsid w:val="006B0340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4099"/>
    <w:rsid w:val="00755A28"/>
    <w:rsid w:val="00756712"/>
    <w:rsid w:val="007620C1"/>
    <w:rsid w:val="00766842"/>
    <w:rsid w:val="00772A1D"/>
    <w:rsid w:val="00781327"/>
    <w:rsid w:val="00782155"/>
    <w:rsid w:val="00783C21"/>
    <w:rsid w:val="007904C3"/>
    <w:rsid w:val="00794A2C"/>
    <w:rsid w:val="0079730F"/>
    <w:rsid w:val="007A15D7"/>
    <w:rsid w:val="007A3EA0"/>
    <w:rsid w:val="007A5B55"/>
    <w:rsid w:val="007A77E9"/>
    <w:rsid w:val="007B6796"/>
    <w:rsid w:val="007C1885"/>
    <w:rsid w:val="007C18F3"/>
    <w:rsid w:val="007C2FC7"/>
    <w:rsid w:val="007C40DC"/>
    <w:rsid w:val="007C4812"/>
    <w:rsid w:val="007C4EE0"/>
    <w:rsid w:val="007C741F"/>
    <w:rsid w:val="007D4C2E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0C6"/>
    <w:rsid w:val="008834E6"/>
    <w:rsid w:val="008866A1"/>
    <w:rsid w:val="00891D19"/>
    <w:rsid w:val="008935CC"/>
    <w:rsid w:val="00893954"/>
    <w:rsid w:val="008946AB"/>
    <w:rsid w:val="008957DD"/>
    <w:rsid w:val="008960CF"/>
    <w:rsid w:val="008A3A88"/>
    <w:rsid w:val="008A655A"/>
    <w:rsid w:val="008B183B"/>
    <w:rsid w:val="008B201C"/>
    <w:rsid w:val="008B4710"/>
    <w:rsid w:val="008B5696"/>
    <w:rsid w:val="008C0E68"/>
    <w:rsid w:val="008E24F2"/>
    <w:rsid w:val="008E2725"/>
    <w:rsid w:val="008E286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53B2"/>
    <w:rsid w:val="0093225B"/>
    <w:rsid w:val="00932286"/>
    <w:rsid w:val="00934215"/>
    <w:rsid w:val="0093526F"/>
    <w:rsid w:val="009373B0"/>
    <w:rsid w:val="00940A0D"/>
    <w:rsid w:val="009413C4"/>
    <w:rsid w:val="00941639"/>
    <w:rsid w:val="009445CA"/>
    <w:rsid w:val="009468D1"/>
    <w:rsid w:val="00956978"/>
    <w:rsid w:val="0096244F"/>
    <w:rsid w:val="009639F4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97E0E"/>
    <w:rsid w:val="009A3DE3"/>
    <w:rsid w:val="009B035F"/>
    <w:rsid w:val="009B4AD8"/>
    <w:rsid w:val="009C1C63"/>
    <w:rsid w:val="009C4352"/>
    <w:rsid w:val="009D1244"/>
    <w:rsid w:val="009D4816"/>
    <w:rsid w:val="009D4CCD"/>
    <w:rsid w:val="009D563F"/>
    <w:rsid w:val="009D67A0"/>
    <w:rsid w:val="009D7445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767CB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149C"/>
    <w:rsid w:val="00AE3F5E"/>
    <w:rsid w:val="00AE6CA1"/>
    <w:rsid w:val="00AF310C"/>
    <w:rsid w:val="00B034B3"/>
    <w:rsid w:val="00B07584"/>
    <w:rsid w:val="00B12596"/>
    <w:rsid w:val="00B17289"/>
    <w:rsid w:val="00B21E69"/>
    <w:rsid w:val="00B22202"/>
    <w:rsid w:val="00B30E95"/>
    <w:rsid w:val="00B31381"/>
    <w:rsid w:val="00B31532"/>
    <w:rsid w:val="00B42510"/>
    <w:rsid w:val="00B43555"/>
    <w:rsid w:val="00B44536"/>
    <w:rsid w:val="00B44DAB"/>
    <w:rsid w:val="00B53381"/>
    <w:rsid w:val="00B5508A"/>
    <w:rsid w:val="00B5668B"/>
    <w:rsid w:val="00B60082"/>
    <w:rsid w:val="00B60A7C"/>
    <w:rsid w:val="00B60EDF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F2111"/>
    <w:rsid w:val="00BF2A88"/>
    <w:rsid w:val="00BF65DA"/>
    <w:rsid w:val="00C0312D"/>
    <w:rsid w:val="00C30904"/>
    <w:rsid w:val="00C31277"/>
    <w:rsid w:val="00C361D8"/>
    <w:rsid w:val="00C4168D"/>
    <w:rsid w:val="00C426CC"/>
    <w:rsid w:val="00C42ABC"/>
    <w:rsid w:val="00C50284"/>
    <w:rsid w:val="00C50873"/>
    <w:rsid w:val="00C50CD4"/>
    <w:rsid w:val="00C51AB6"/>
    <w:rsid w:val="00C522B1"/>
    <w:rsid w:val="00C5673E"/>
    <w:rsid w:val="00C56C2B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29D1"/>
    <w:rsid w:val="00CC70C7"/>
    <w:rsid w:val="00CD363A"/>
    <w:rsid w:val="00CD39A4"/>
    <w:rsid w:val="00CD3E95"/>
    <w:rsid w:val="00CE055A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5015"/>
    <w:rsid w:val="00D66242"/>
    <w:rsid w:val="00D6670A"/>
    <w:rsid w:val="00D71B9A"/>
    <w:rsid w:val="00D71D4E"/>
    <w:rsid w:val="00D74293"/>
    <w:rsid w:val="00D819A1"/>
    <w:rsid w:val="00D82D1B"/>
    <w:rsid w:val="00D85B87"/>
    <w:rsid w:val="00D92C3C"/>
    <w:rsid w:val="00D95BF0"/>
    <w:rsid w:val="00D96846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2352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29A1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7A8"/>
    <w:rsid w:val="00EE5986"/>
    <w:rsid w:val="00EE68B1"/>
    <w:rsid w:val="00EF42E1"/>
    <w:rsid w:val="00EF5867"/>
    <w:rsid w:val="00EF6863"/>
    <w:rsid w:val="00EF7747"/>
    <w:rsid w:val="00F002AA"/>
    <w:rsid w:val="00F00690"/>
    <w:rsid w:val="00F01667"/>
    <w:rsid w:val="00F0566E"/>
    <w:rsid w:val="00F15523"/>
    <w:rsid w:val="00F17F91"/>
    <w:rsid w:val="00F26CA1"/>
    <w:rsid w:val="00F30D32"/>
    <w:rsid w:val="00F31FFA"/>
    <w:rsid w:val="00F33050"/>
    <w:rsid w:val="00F353DA"/>
    <w:rsid w:val="00F40649"/>
    <w:rsid w:val="00F42F47"/>
    <w:rsid w:val="00F45874"/>
    <w:rsid w:val="00F472A1"/>
    <w:rsid w:val="00F530AC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40E3"/>
    <w:rsid w:val="00F85819"/>
    <w:rsid w:val="00F922F7"/>
    <w:rsid w:val="00F93FA0"/>
    <w:rsid w:val="00F970B3"/>
    <w:rsid w:val="00FA0179"/>
    <w:rsid w:val="00FA3FC9"/>
    <w:rsid w:val="00FA5481"/>
    <w:rsid w:val="00FA5C36"/>
    <w:rsid w:val="00FA6AA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0CE1D-BDCC-4E41-AEC6-94252030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William Mayance</cp:lastModifiedBy>
  <cp:revision>3</cp:revision>
  <cp:lastPrinted>2019-11-11T04:23:00Z</cp:lastPrinted>
  <dcterms:created xsi:type="dcterms:W3CDTF">2020-07-01T13:10:00Z</dcterms:created>
  <dcterms:modified xsi:type="dcterms:W3CDTF">2020-07-01T14:00:00Z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